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9" w:rsidRPr="002D6B25" w:rsidRDefault="00715B7A" w:rsidP="009070A9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2D6B25">
        <w:rPr>
          <w:b/>
          <w:bCs/>
        </w:rPr>
        <w:t>АНАЛІ</w:t>
      </w:r>
      <w:proofErr w:type="gramStart"/>
      <w:r w:rsidRPr="002D6B25">
        <w:rPr>
          <w:b/>
          <w:bCs/>
        </w:rPr>
        <w:t>З</w:t>
      </w:r>
      <w:proofErr w:type="gramEnd"/>
      <w:r w:rsidRPr="002D6B25">
        <w:rPr>
          <w:b/>
          <w:bCs/>
        </w:rPr>
        <w:t xml:space="preserve"> РЕГУЛЯТОРНОГО ВПЛИВУ</w:t>
      </w:r>
      <w:r w:rsidRPr="002D6B25">
        <w:br/>
      </w:r>
      <w:proofErr w:type="spellStart"/>
      <w:r w:rsidRPr="002D6B25">
        <w:rPr>
          <w:b/>
        </w:rPr>
        <w:t>Назва</w:t>
      </w:r>
      <w:proofErr w:type="spellEnd"/>
      <w:r w:rsidRPr="002D6B25">
        <w:rPr>
          <w:b/>
        </w:rPr>
        <w:t xml:space="preserve"> акта: проект </w:t>
      </w:r>
      <w:proofErr w:type="spellStart"/>
      <w:r w:rsidRPr="002D6B25">
        <w:rPr>
          <w:b/>
        </w:rPr>
        <w:t>рішення</w:t>
      </w:r>
      <w:proofErr w:type="spellEnd"/>
      <w:r w:rsidRPr="002D6B25">
        <w:rPr>
          <w:b/>
        </w:rPr>
        <w:t xml:space="preserve"> </w:t>
      </w:r>
      <w:proofErr w:type="spellStart"/>
      <w:r w:rsidR="009070A9" w:rsidRPr="002D6B25">
        <w:rPr>
          <w:b/>
        </w:rPr>
        <w:t>Боярсько</w:t>
      </w:r>
      <w:r w:rsidRPr="002D6B25">
        <w:rPr>
          <w:b/>
        </w:rPr>
        <w:t>ї</w:t>
      </w:r>
      <w:proofErr w:type="spellEnd"/>
      <w:r w:rsidRPr="002D6B25">
        <w:rPr>
          <w:b/>
        </w:rPr>
        <w:t xml:space="preserve"> </w:t>
      </w:r>
      <w:proofErr w:type="spellStart"/>
      <w:r w:rsidRPr="002D6B25">
        <w:rPr>
          <w:b/>
        </w:rPr>
        <w:t>міської</w:t>
      </w:r>
      <w:proofErr w:type="spellEnd"/>
      <w:r w:rsidRPr="002D6B25">
        <w:rPr>
          <w:b/>
        </w:rPr>
        <w:t xml:space="preserve"> ради </w:t>
      </w:r>
      <w:r w:rsidR="009070A9" w:rsidRPr="002D6B25">
        <w:rPr>
          <w:b/>
          <w:lang w:val="uk-UA"/>
        </w:rPr>
        <w:t>«Про затвердження Правил торгівлі на ринках у місті Боярка»</w:t>
      </w:r>
    </w:p>
    <w:p w:rsidR="00715B7A" w:rsidRPr="002D6B25" w:rsidRDefault="00715B7A" w:rsidP="00715B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5B7A" w:rsidRPr="002D6B25" w:rsidRDefault="00715B7A" w:rsidP="009070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Визначення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аналіз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проблеми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яку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передбачається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вирішити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шляхом </w:t>
      </w:r>
      <w:proofErr w:type="gram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державного</w:t>
      </w:r>
      <w:proofErr w:type="gram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регулювання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господарських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відносин</w:t>
      </w:r>
      <w:proofErr w:type="spellEnd"/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в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частиною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ст.26 Закону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місцеве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встановлюють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ринках, за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наказом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економіки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європейської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інтеграції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справ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податкової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стандартизації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метрології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№ 57/188/84/105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26.02.2002,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затверджені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торгівлі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ринках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торгівлі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ринках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вищевказаних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0A9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спеціально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відведене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обладнане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продажу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даною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земельною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ділянкою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належних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умов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купівлі-продажу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цінами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залежності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попиту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Встановлені вимоги до об’єктів ринкової торгівлі є обов’язковими для всіх суб’єктів підприємницької діяльності.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Однак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діючого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продовольчими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непродовольчими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товарами, часто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цінники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язку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діючому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Кодексу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значну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здійснюють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покупки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</w:t>
      </w:r>
      <w:r w:rsidR="001331EC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1331EC"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санітарного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стану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ринку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продажу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продовольчих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непродовольчих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умов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ідвищення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потребують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врегулювання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регуляторний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 направлений на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чіткої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позиції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функціональними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ринку </w:t>
      </w:r>
      <w:r w:rsidR="009A6EA2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6EA2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Боярка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ринку.</w:t>
      </w:r>
    </w:p>
    <w:p w:rsidR="00715B7A" w:rsidRPr="002D6B25" w:rsidRDefault="00715B7A" w:rsidP="00DE36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Визначення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цілей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державного</w:t>
      </w:r>
      <w:proofErr w:type="gram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регулювання</w:t>
      </w:r>
      <w:proofErr w:type="spellEnd"/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єдиних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зрозумілих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риночної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чітких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сприятливих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придбанні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товарі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ринках.</w:t>
      </w:r>
    </w:p>
    <w:p w:rsidR="00DE36AB" w:rsidRPr="002D6B25" w:rsidRDefault="00DE36AB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5B7A" w:rsidRPr="002D6B25" w:rsidRDefault="00715B7A" w:rsidP="002D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Визначення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оцінка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</w:t>
      </w:r>
      <w:proofErr w:type="gram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іх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прийнятих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альтернативних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способів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досягнення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встановлених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цілей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</w:t>
      </w:r>
      <w:r w:rsidR="00DE36AB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6AB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6AB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Боярка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6AB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врахуванням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вищої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Перевагами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сприятливих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придбанні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 та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чітких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вдосконалення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7270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Опис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механізмів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методі</w:t>
      </w:r>
      <w:proofErr w:type="gram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spellEnd"/>
      <w:proofErr w:type="gram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які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пропонуються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вирішення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проблем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пропонується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активізація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ідносно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діючого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нормами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Правилами,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чистоти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 на ринках,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Механізмом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покладення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торговельної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адміністрацію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ідвищення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виключення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скарг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мешканців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Бояр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ської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«Про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 </w:t>
      </w:r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Боярка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дозволить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чіткі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адміністрації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діючого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здійсненні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торговельної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ринках.</w:t>
      </w:r>
    </w:p>
    <w:p w:rsidR="007270DA" w:rsidRPr="002D6B25" w:rsidRDefault="007270DA" w:rsidP="00715B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5B7A" w:rsidRPr="002D6B25" w:rsidRDefault="00715B7A" w:rsidP="007270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Обґрунтування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можливостей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досягнення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цілей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випадку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прийняття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регуляторного</w:t>
      </w:r>
      <w:proofErr w:type="gram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акту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Перевагами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сприятливих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торговельної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ознайомлення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Правилами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ринку </w:t>
      </w:r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Боярка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регуляторний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стимулює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здійснюють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торговельну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Правилами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ринку </w:t>
      </w:r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70DA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Боярка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діючого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Регуляторний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діючого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проходження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міською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радою.</w:t>
      </w:r>
    </w:p>
    <w:p w:rsidR="007270DA" w:rsidRPr="002D6B25" w:rsidRDefault="007270DA" w:rsidP="002D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B7A" w:rsidRPr="002D6B25" w:rsidRDefault="00715B7A" w:rsidP="007270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Очікувані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результати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прийняття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регуляторного акта.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Аналіз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вигод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витрат</w:t>
      </w:r>
      <w:proofErr w:type="spellEnd"/>
    </w:p>
    <w:p w:rsidR="00715B7A" w:rsidRPr="002D6B25" w:rsidRDefault="00715B7A" w:rsidP="00715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>Прийняття</w:t>
      </w:r>
      <w:proofErr w:type="spellEnd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>запропонованого</w:t>
      </w:r>
      <w:proofErr w:type="spellEnd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регуляторного акта дозволить </w:t>
      </w:r>
      <w:proofErr w:type="spellStart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>досягти</w:t>
      </w:r>
      <w:proofErr w:type="spellEnd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>наступних</w:t>
      </w:r>
      <w:proofErr w:type="spellEnd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>цілей</w:t>
      </w:r>
      <w:proofErr w:type="spellEnd"/>
      <w:r w:rsidRPr="002D6B25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040"/>
        <w:gridCol w:w="2520"/>
      </w:tblGrid>
      <w:tr w:rsidR="0075021B" w:rsidRPr="002D6B25" w:rsidTr="00D8032A">
        <w:trPr>
          <w:cantSplit/>
        </w:trPr>
        <w:tc>
          <w:tcPr>
            <w:tcW w:w="2268" w:type="dxa"/>
            <w:vMerge w:val="restart"/>
          </w:tcPr>
          <w:p w:rsidR="0075021B" w:rsidRPr="002D6B25" w:rsidRDefault="0075021B" w:rsidP="00D8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впливу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регуляторного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7560" w:type="dxa"/>
            <w:gridSpan w:val="2"/>
          </w:tcPr>
          <w:p w:rsidR="0075021B" w:rsidRPr="002D6B25" w:rsidRDefault="0075021B" w:rsidP="00D8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Очікувані</w:t>
            </w:r>
            <w:proofErr w:type="spellEnd"/>
          </w:p>
        </w:tc>
      </w:tr>
      <w:tr w:rsidR="0075021B" w:rsidRPr="002D6B25" w:rsidTr="00D8032A">
        <w:trPr>
          <w:cantSplit/>
        </w:trPr>
        <w:tc>
          <w:tcPr>
            <w:tcW w:w="2268" w:type="dxa"/>
            <w:vMerge/>
          </w:tcPr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75021B" w:rsidRPr="002D6B25" w:rsidRDefault="0075021B" w:rsidP="00D8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Вигоди</w:t>
            </w:r>
            <w:proofErr w:type="spellEnd"/>
          </w:p>
        </w:tc>
        <w:tc>
          <w:tcPr>
            <w:tcW w:w="2520" w:type="dxa"/>
          </w:tcPr>
          <w:p w:rsidR="0075021B" w:rsidRPr="002D6B25" w:rsidRDefault="0075021B" w:rsidP="00D8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</w:p>
        </w:tc>
      </w:tr>
      <w:tr w:rsidR="0075021B" w:rsidRPr="002D6B25" w:rsidTr="00492CD3">
        <w:tc>
          <w:tcPr>
            <w:tcW w:w="2268" w:type="dxa"/>
            <w:tcBorders>
              <w:bottom w:val="single" w:sz="4" w:space="0" w:color="auto"/>
            </w:tcBorders>
          </w:tcPr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75021B" w:rsidRPr="002D6B25" w:rsidRDefault="0075021B" w:rsidP="00D8032A">
            <w:pPr>
              <w:pStyle w:val="a6"/>
              <w:ind w:left="-3"/>
              <w:jc w:val="both"/>
              <w:rPr>
                <w:sz w:val="20"/>
                <w:szCs w:val="20"/>
              </w:rPr>
            </w:pPr>
            <w:r w:rsidRPr="002D6B25">
              <w:rPr>
                <w:sz w:val="20"/>
                <w:szCs w:val="20"/>
              </w:rPr>
              <w:t xml:space="preserve">Забезпечення відповідності прийнятого рішення – регуляторного акту законодавству загальнодержавного рівня, упорядкування ринкових відносин, контроль за організацією роботи ринків, створення необхідних умов для продажу </w:t>
            </w:r>
            <w:proofErr w:type="spellStart"/>
            <w:r w:rsidRPr="002D6B25">
              <w:rPr>
                <w:sz w:val="20"/>
                <w:szCs w:val="20"/>
              </w:rPr>
              <w:t>сільсько-господарської</w:t>
            </w:r>
            <w:proofErr w:type="spellEnd"/>
            <w:r w:rsidRPr="002D6B25">
              <w:rPr>
                <w:sz w:val="20"/>
                <w:szCs w:val="20"/>
              </w:rPr>
              <w:t xml:space="preserve"> продукції безпосередньо її виробниками, посилення контролю за якістю і безпекою товарів, що реалізуються на ринках,</w:t>
            </w:r>
          </w:p>
        </w:tc>
        <w:tc>
          <w:tcPr>
            <w:tcW w:w="2520" w:type="dxa"/>
          </w:tcPr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передбачається</w:t>
            </w:r>
          </w:p>
        </w:tc>
      </w:tr>
      <w:tr w:rsidR="0075021B" w:rsidRPr="002D6B25" w:rsidTr="00492CD3">
        <w:trPr>
          <w:cantSplit/>
          <w:trHeight w:val="34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Суб’єкти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утримують ринки</w:t>
            </w:r>
          </w:p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здійснюють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торгівлю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ринках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B" w:rsidRPr="002D6B25" w:rsidRDefault="0075021B" w:rsidP="00D8032A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норм 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організації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функціонування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ринків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захист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власних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інтересі</w:t>
            </w:r>
            <w:proofErr w:type="gram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договірні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взаємовідносини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75021B" w:rsidRPr="002D6B25" w:rsidRDefault="0075021B" w:rsidP="00D8032A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5021B" w:rsidRPr="002D6B25" w:rsidRDefault="0075021B" w:rsidP="00D8032A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5021B" w:rsidRPr="002D6B25" w:rsidRDefault="0075021B" w:rsidP="00D8032A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івних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умов для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бізнесу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всіма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суб'єктами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громадянами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засадах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дотримання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чинного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прозорість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процедури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впровадження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регуляторного акта</w:t>
            </w:r>
            <w:r w:rsid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5021B" w:rsidRPr="002D6B25" w:rsidRDefault="0075021B" w:rsidP="00D8032A">
            <w:pPr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створення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належних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умов для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торгі</w:t>
            </w:r>
            <w:proofErr w:type="gram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</w:t>
            </w:r>
            <w:proofErr w:type="gram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покупців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високому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рівні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стендів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табличок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тощо</w:t>
            </w:r>
            <w:proofErr w:type="spellEnd"/>
            <w:r w:rsidRPr="002D6B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</w:p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Витрати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на     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сплату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економічно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обґрунтованих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податків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зборів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інших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офіційних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платежів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можливі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штрафні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санкції</w:t>
            </w:r>
            <w:proofErr w:type="spellEnd"/>
            <w:r w:rsidRPr="002D6B2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</w:p>
        </w:tc>
      </w:tr>
      <w:tr w:rsidR="0075021B" w:rsidRPr="002D6B25" w:rsidTr="00492CD3">
        <w:trPr>
          <w:cantSplit/>
          <w:trHeight w:val="10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культури обслуговування покупців, забезпечення належної якості та безпеки продукції, яка реалізується на ринках, стабілізація продовольчої та цінової ситуації, захист прав  споживачів.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021B" w:rsidRPr="002D6B25" w:rsidRDefault="0075021B" w:rsidP="00D803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6B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передбачається</w:t>
            </w:r>
          </w:p>
        </w:tc>
      </w:tr>
    </w:tbl>
    <w:p w:rsidR="0075021B" w:rsidRPr="002D6B25" w:rsidRDefault="0075021B" w:rsidP="00715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474C1" w:rsidRPr="002474C1" w:rsidRDefault="00715B7A" w:rsidP="002474C1">
      <w:pPr>
        <w:pStyle w:val="2"/>
        <w:spacing w:after="0" w:line="240" w:lineRule="auto"/>
        <w:jc w:val="both"/>
        <w:rPr>
          <w:b/>
          <w:lang w:val="uk-UA"/>
        </w:rPr>
      </w:pPr>
      <w:proofErr w:type="spellStart"/>
      <w:r w:rsidRPr="002474C1">
        <w:t>Інформування</w:t>
      </w:r>
      <w:proofErr w:type="spellEnd"/>
      <w:r w:rsidRPr="002474C1">
        <w:t xml:space="preserve"> </w:t>
      </w:r>
      <w:proofErr w:type="spellStart"/>
      <w:r w:rsidRPr="002474C1">
        <w:t>суб’єктів</w:t>
      </w:r>
      <w:proofErr w:type="spellEnd"/>
      <w:r w:rsidRPr="002474C1">
        <w:t xml:space="preserve"> </w:t>
      </w:r>
      <w:proofErr w:type="spellStart"/>
      <w:r w:rsidRPr="002474C1">
        <w:t>господарювання</w:t>
      </w:r>
      <w:proofErr w:type="spellEnd"/>
      <w:r w:rsidRPr="002474C1">
        <w:t xml:space="preserve"> по </w:t>
      </w:r>
      <w:proofErr w:type="spellStart"/>
      <w:r w:rsidRPr="002474C1">
        <w:t>основним</w:t>
      </w:r>
      <w:proofErr w:type="spellEnd"/>
      <w:r w:rsidRPr="002474C1">
        <w:t xml:space="preserve"> </w:t>
      </w:r>
      <w:proofErr w:type="spellStart"/>
      <w:r w:rsidRPr="002474C1">
        <w:t>положенням</w:t>
      </w:r>
      <w:proofErr w:type="spellEnd"/>
      <w:r w:rsidRPr="002474C1">
        <w:t xml:space="preserve"> регуляторного акта буде </w:t>
      </w:r>
      <w:proofErr w:type="spellStart"/>
      <w:r w:rsidRPr="002474C1">
        <w:t>забезпечено</w:t>
      </w:r>
      <w:proofErr w:type="spellEnd"/>
      <w:r w:rsidRPr="002474C1">
        <w:t xml:space="preserve"> шляхом </w:t>
      </w:r>
      <w:proofErr w:type="spellStart"/>
      <w:r w:rsidRPr="002474C1">
        <w:t>його</w:t>
      </w:r>
      <w:proofErr w:type="spellEnd"/>
      <w:r w:rsidRPr="002474C1">
        <w:t xml:space="preserve"> </w:t>
      </w:r>
      <w:proofErr w:type="spellStart"/>
      <w:r w:rsidRPr="002474C1">
        <w:t>опублікування</w:t>
      </w:r>
      <w:proofErr w:type="spellEnd"/>
      <w:r w:rsidRPr="002474C1">
        <w:t xml:space="preserve"> </w:t>
      </w:r>
      <w:r w:rsidR="002D6B25" w:rsidRPr="002474C1">
        <w:t xml:space="preserve">на </w:t>
      </w:r>
      <w:proofErr w:type="spellStart"/>
      <w:r w:rsidRPr="002474C1">
        <w:t>офіційному</w:t>
      </w:r>
      <w:proofErr w:type="spellEnd"/>
      <w:r w:rsidRPr="002474C1">
        <w:t xml:space="preserve"> </w:t>
      </w:r>
      <w:r w:rsidR="002474C1" w:rsidRPr="002474C1">
        <w:rPr>
          <w:lang w:val="uk-UA"/>
        </w:rPr>
        <w:t xml:space="preserve">порталі  у розділі «Регуляторні акти» </w:t>
      </w:r>
      <w:hyperlink r:id="rId5" w:history="1">
        <w:r w:rsidR="002474C1" w:rsidRPr="002474C1">
          <w:rPr>
            <w:rStyle w:val="a5"/>
            <w:b/>
            <w:color w:val="auto"/>
          </w:rPr>
          <w:t>https://mistoboyarka.gov.ua/typy_materialiv/normatyvni_akty.html?cat=2</w:t>
        </w:r>
      </w:hyperlink>
    </w:p>
    <w:p w:rsidR="00715B7A" w:rsidRPr="002D6B25" w:rsidRDefault="00715B7A" w:rsidP="00850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Обґрунтування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запропонованого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терміну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дії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регуляторного</w:t>
      </w:r>
      <w:proofErr w:type="gram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акту</w:t>
      </w:r>
    </w:p>
    <w:p w:rsidR="00715B7A" w:rsidRPr="002D6B25" w:rsidRDefault="00715B7A" w:rsidP="0024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не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обмежується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часі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необхідністю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постійно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 </w:t>
      </w:r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</w:t>
      </w:r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Боярка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24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вищої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2474C1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ринках </w:t>
      </w:r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2474C1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</w:t>
      </w:r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Боярка</w:t>
      </w:r>
      <w:r w:rsidR="002474C1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вноситимуться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регуляторний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 в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установленому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порядку.</w:t>
      </w:r>
    </w:p>
    <w:p w:rsidR="00715B7A" w:rsidRPr="002D6B25" w:rsidRDefault="00715B7A" w:rsidP="00850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Визначення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показників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результативності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регуляторного</w:t>
      </w:r>
      <w:proofErr w:type="gram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акту</w:t>
      </w:r>
    </w:p>
    <w:p w:rsidR="00715B7A" w:rsidRPr="002D6B25" w:rsidRDefault="00715B7A" w:rsidP="00715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Головним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показником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результативності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торгуючими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утримувачами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чинного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санітарно-епідеміологічного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ветеринарного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пожежного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5E6E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9. Заходи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відстеження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результативності</w:t>
      </w:r>
      <w:proofErr w:type="spellEnd"/>
      <w:r w:rsidRPr="002D6B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нормативно-правового акта</w:t>
      </w:r>
    </w:p>
    <w:p w:rsidR="00715B7A" w:rsidRPr="002D6B25" w:rsidRDefault="00715B7A" w:rsidP="005E6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спільних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контролюючими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службами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періодичних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перевірок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торгі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ринках</w:t>
      </w:r>
      <w:r w:rsidR="005E6EBC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міст</w:t>
      </w:r>
      <w:r w:rsidR="005E6EBC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6EBC"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Боярка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санітарно-епідеміологічного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</w:t>
      </w:r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>вого</w:t>
      </w:r>
      <w:proofErr w:type="spellEnd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ветеринарного </w:t>
      </w:r>
      <w:proofErr w:type="spellStart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>пожежного</w:t>
      </w:r>
      <w:proofErr w:type="spellEnd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5E6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результативності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регуляторного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акту буде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здійснюватися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даними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4C1">
        <w:rPr>
          <w:rFonts w:ascii="Times New Roman" w:eastAsia="Times New Roman" w:hAnsi="Times New Roman" w:cs="Times New Roman"/>
          <w:sz w:val="24"/>
          <w:szCs w:val="24"/>
          <w:lang w:val="ru-RU"/>
        </w:rPr>
        <w:t>Бояр</w:t>
      </w: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ської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ради.</w:t>
      </w:r>
    </w:p>
    <w:p w:rsidR="00715B7A" w:rsidRPr="002D6B25" w:rsidRDefault="00715B7A" w:rsidP="005E6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Базове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результативності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регуляторного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акту буде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здійснюватися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набрання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регуляторним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актом.</w:t>
      </w:r>
    </w:p>
    <w:p w:rsidR="00715B7A" w:rsidRPr="002D6B25" w:rsidRDefault="00715B7A" w:rsidP="005E6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ідстеження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ефективності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акту буде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прийматися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акту без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регуляторного акту,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визнання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регулярного акта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такими,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втратили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чинність</w:t>
      </w:r>
      <w:proofErr w:type="spellEnd"/>
      <w:r w:rsidRPr="002D6B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5B7A" w:rsidRPr="002D6B25" w:rsidRDefault="00715B7A" w:rsidP="00715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B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7A2" w:rsidRPr="002D6B25" w:rsidRDefault="000D2587" w:rsidP="00432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</w:t>
      </w:r>
      <w:proofErr w:type="spellStart"/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>управління</w:t>
      </w:r>
      <w:proofErr w:type="spellEnd"/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5005" w:rsidRPr="002D6B25" w:rsidRDefault="004327A2" w:rsidP="00432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економіки</w:t>
      </w:r>
      <w:proofErr w:type="spellEnd"/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>фінансів</w:t>
      </w:r>
      <w:proofErr w:type="spellEnd"/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</w:t>
      </w:r>
      <w:r w:rsidR="007B2FC6" w:rsidRPr="002D6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5E6EBC" w:rsidRPr="002D6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Н.І. </w:t>
      </w:r>
      <w:proofErr w:type="spellStart"/>
      <w:r w:rsidRPr="002D6B25">
        <w:rPr>
          <w:rFonts w:ascii="Times New Roman" w:hAnsi="Times New Roman" w:cs="Times New Roman"/>
          <w:b/>
          <w:sz w:val="24"/>
          <w:szCs w:val="24"/>
          <w:lang w:val="ru-RU"/>
        </w:rPr>
        <w:t>Мусієнко</w:t>
      </w:r>
      <w:proofErr w:type="spellEnd"/>
    </w:p>
    <w:sectPr w:rsidR="007B5005" w:rsidRPr="002D6B25" w:rsidSect="00492CD3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518"/>
    <w:multiLevelType w:val="multilevel"/>
    <w:tmpl w:val="5450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B7A"/>
    <w:rsid w:val="000A636B"/>
    <w:rsid w:val="000D2587"/>
    <w:rsid w:val="001331EC"/>
    <w:rsid w:val="001343DE"/>
    <w:rsid w:val="00152129"/>
    <w:rsid w:val="00152452"/>
    <w:rsid w:val="00155D58"/>
    <w:rsid w:val="002474C1"/>
    <w:rsid w:val="002D6B25"/>
    <w:rsid w:val="003279B1"/>
    <w:rsid w:val="00386D18"/>
    <w:rsid w:val="004327A2"/>
    <w:rsid w:val="00492CD3"/>
    <w:rsid w:val="004D4E22"/>
    <w:rsid w:val="00561D70"/>
    <w:rsid w:val="0058379D"/>
    <w:rsid w:val="005E1AA7"/>
    <w:rsid w:val="005E6EBC"/>
    <w:rsid w:val="00606C5A"/>
    <w:rsid w:val="00715B7A"/>
    <w:rsid w:val="007270DA"/>
    <w:rsid w:val="0075021B"/>
    <w:rsid w:val="007B2FC6"/>
    <w:rsid w:val="0085038D"/>
    <w:rsid w:val="008C6760"/>
    <w:rsid w:val="009070A9"/>
    <w:rsid w:val="009A6EA2"/>
    <w:rsid w:val="009B0CAA"/>
    <w:rsid w:val="00B526D1"/>
    <w:rsid w:val="00BB2BE8"/>
    <w:rsid w:val="00D714EB"/>
    <w:rsid w:val="00DE36AB"/>
    <w:rsid w:val="00E64C59"/>
    <w:rsid w:val="00F8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4C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64C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E6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E64C59"/>
    <w:rPr>
      <w:b/>
      <w:bCs/>
    </w:rPr>
  </w:style>
  <w:style w:type="paragraph" w:customStyle="1" w:styleId="1">
    <w:name w:val="Основной текст1"/>
    <w:basedOn w:val="a"/>
    <w:rsid w:val="00E64C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Без интервала1"/>
    <w:rsid w:val="00E64C5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52129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750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7502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oboyarka.gov.ua/typy_materialiv/normatyvni_akty.html?cat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Natali_Prozorro</dc:creator>
  <cp:keywords/>
  <dc:description/>
  <cp:lastModifiedBy>Ivan</cp:lastModifiedBy>
  <cp:revision>34</cp:revision>
  <cp:lastPrinted>2019-05-16T05:25:00Z</cp:lastPrinted>
  <dcterms:created xsi:type="dcterms:W3CDTF">2019-02-26T14:43:00Z</dcterms:created>
  <dcterms:modified xsi:type="dcterms:W3CDTF">2019-05-20T06:51:00Z</dcterms:modified>
</cp:coreProperties>
</file>